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3.2.1.1 Active Corporale si Necorporale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3.2.1.1 Active Corporale si Necorporale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Active corporale &amp; necorporale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PV de PIF sau PV de receptie  in format fizic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in functie de codul de clasificare, durata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Prelucrare si completare date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Contabilizarea intrarii activului (transfer din MF in GL)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contabilizare cu rapoartele din Mijloace Fixe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Creare Notă contabilă în FA și transfer în GL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Active corporale &amp; necorporale</w:t>
      </w:r>
      <w:bookmarkEnd w:id="2"/>
    </w:p>
    <w:p>
      <w:pPr>
        <w:jc w:val="center"/>
      </w:pPr>
      <w:r>
        <w:drawing>
          <wp:inline>
            <wp:extent cx="7886700" cy="2222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în procesul de contabilizare a activelor corporale și necorporale</w:t>
      </w:r>
    </w:p>
    <w:p>
      <w:pPr>
        <w:pStyle w:val="bizHeading2"/>
      </w:pPr>
      <w:bookmarkStart w:id="3" w:name="1da7c6ea-648f-4edd-a0f8-2dd5f6334de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398501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PV de PIF sau PV de receptie  in format fizic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495091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in functie de codul de clasificare, durata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1921609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Prelucrare si completare date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885068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Contabilizarea intrarii activului (transfer din MF in GL)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2429848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contabilizare cu rapoartele din Mijloace Fixe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202689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Creare Notă contabilă în FA și transfer în GL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06/05/2022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